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396" w:rsidRPr="003A4396" w:rsidRDefault="003A4396" w:rsidP="003A4396">
      <w:pPr>
        <w:keepNext/>
        <w:keepLines/>
        <w:spacing w:before="80" w:after="0" w:line="240" w:lineRule="auto"/>
        <w:jc w:val="both"/>
        <w:outlineLvl w:val="3"/>
        <w:rPr>
          <w:rFonts w:ascii="Calibri" w:eastAsia="Times New Roman" w:hAnsi="Calibri" w:cs="Times New Roman"/>
          <w:i/>
          <w:iCs/>
          <w:sz w:val="28"/>
          <w:szCs w:val="28"/>
          <w:lang w:val="cs-CZ"/>
        </w:rPr>
      </w:pPr>
      <w:r w:rsidRPr="003A4396">
        <w:rPr>
          <w:rFonts w:ascii="Calibri" w:eastAsia="Times New Roman" w:hAnsi="Calibri" w:cs="Times New Roman"/>
          <w:i/>
          <w:iCs/>
          <w:sz w:val="28"/>
          <w:szCs w:val="28"/>
          <w:lang w:val="cs-CZ"/>
        </w:rPr>
        <w:t xml:space="preserve">4.3.1.1.Projektu vērtēšanas kritēriji 1. rīcībai </w:t>
      </w:r>
      <w:r w:rsidRPr="003A4396">
        <w:rPr>
          <w:rFonts w:ascii="Calibri" w:eastAsia="Times New Roman" w:hAnsi="Calibri" w:cs="Times New Roman"/>
          <w:i/>
          <w:iCs/>
          <w:sz w:val="28"/>
          <w:szCs w:val="28"/>
          <w:lang w:val="cs-CZ" w:eastAsia="lv-LV"/>
        </w:rPr>
        <w:t>„Atbalsts vietējās ekonomikas stiprināšanai”</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320"/>
        <w:gridCol w:w="9643"/>
        <w:gridCol w:w="2240"/>
      </w:tblGrid>
      <w:tr w:rsidR="003A4396" w:rsidRPr="003A4396" w:rsidTr="001950FC">
        <w:trPr>
          <w:tblHeader/>
        </w:trPr>
        <w:tc>
          <w:tcPr>
            <w:tcW w:w="681" w:type="dxa"/>
            <w:shd w:val="clear" w:color="auto" w:fill="F2F2F2"/>
          </w:tcPr>
          <w:p w:rsidR="003A4396" w:rsidRPr="003A4396" w:rsidRDefault="003A4396" w:rsidP="003A4396">
            <w:pPr>
              <w:spacing w:after="0" w:line="240" w:lineRule="auto"/>
              <w:jc w:val="center"/>
              <w:rPr>
                <w:rFonts w:ascii="Cambria" w:eastAsia="Times New Roman" w:hAnsi="Cambria" w:cs="Times New Roman"/>
                <w:b/>
                <w:sz w:val="21"/>
                <w:szCs w:val="21"/>
                <w:lang w:val="cs-CZ"/>
              </w:rPr>
            </w:pPr>
            <w:r w:rsidRPr="003A4396">
              <w:rPr>
                <w:rFonts w:ascii="Cambria" w:eastAsia="Times New Roman" w:hAnsi="Cambria" w:cs="Times New Roman"/>
                <w:b/>
                <w:sz w:val="21"/>
                <w:szCs w:val="21"/>
                <w:lang w:val="cs-CZ"/>
              </w:rPr>
              <w:t>Nr.</w:t>
            </w:r>
          </w:p>
        </w:tc>
        <w:tc>
          <w:tcPr>
            <w:tcW w:w="2320" w:type="dxa"/>
            <w:shd w:val="clear" w:color="auto" w:fill="F2F2F2"/>
          </w:tcPr>
          <w:p w:rsidR="003A4396" w:rsidRPr="003A4396" w:rsidRDefault="003A4396" w:rsidP="003A4396">
            <w:pPr>
              <w:spacing w:after="0" w:line="240" w:lineRule="auto"/>
              <w:jc w:val="center"/>
              <w:rPr>
                <w:rFonts w:ascii="Cambria" w:eastAsia="Times New Roman" w:hAnsi="Cambria" w:cs="Times New Roman"/>
                <w:b/>
                <w:sz w:val="21"/>
                <w:szCs w:val="21"/>
                <w:lang w:val="cs-CZ"/>
              </w:rPr>
            </w:pPr>
            <w:r w:rsidRPr="003A4396">
              <w:rPr>
                <w:rFonts w:ascii="Cambria" w:eastAsia="Times New Roman" w:hAnsi="Cambria" w:cs="Times New Roman"/>
                <w:b/>
                <w:sz w:val="21"/>
                <w:szCs w:val="21"/>
                <w:lang w:val="cs-CZ"/>
              </w:rPr>
              <w:t>Kritērijs</w:t>
            </w:r>
          </w:p>
        </w:tc>
        <w:tc>
          <w:tcPr>
            <w:tcW w:w="9643" w:type="dxa"/>
            <w:shd w:val="clear" w:color="auto" w:fill="F2F2F2"/>
          </w:tcPr>
          <w:p w:rsidR="003A4396" w:rsidRPr="003A4396" w:rsidRDefault="003A4396" w:rsidP="003A4396">
            <w:pPr>
              <w:spacing w:after="0" w:line="240" w:lineRule="auto"/>
              <w:jc w:val="center"/>
              <w:rPr>
                <w:rFonts w:ascii="Cambria" w:eastAsia="Times New Roman" w:hAnsi="Cambria" w:cs="Times New Roman"/>
                <w:b/>
                <w:sz w:val="21"/>
                <w:szCs w:val="21"/>
                <w:lang w:val="cs-CZ"/>
              </w:rPr>
            </w:pPr>
            <w:r w:rsidRPr="003A4396">
              <w:rPr>
                <w:rFonts w:ascii="Cambria" w:eastAsia="Times New Roman" w:hAnsi="Cambria" w:cs="Times New Roman"/>
                <w:b/>
                <w:sz w:val="21"/>
                <w:szCs w:val="21"/>
                <w:lang w:val="cs-CZ"/>
              </w:rPr>
              <w:t>Paskaidrojoša informācija</w:t>
            </w:r>
          </w:p>
        </w:tc>
        <w:tc>
          <w:tcPr>
            <w:tcW w:w="2240" w:type="dxa"/>
            <w:shd w:val="clear" w:color="auto" w:fill="F2F2F2"/>
          </w:tcPr>
          <w:p w:rsidR="003A4396" w:rsidRPr="003A4396" w:rsidRDefault="003A4396" w:rsidP="003A4396">
            <w:pPr>
              <w:spacing w:after="0" w:line="240" w:lineRule="auto"/>
              <w:jc w:val="center"/>
              <w:rPr>
                <w:rFonts w:ascii="Cambria" w:eastAsia="Times New Roman" w:hAnsi="Cambria" w:cs="Times New Roman"/>
                <w:b/>
                <w:sz w:val="21"/>
                <w:szCs w:val="21"/>
                <w:lang w:val="cs-CZ"/>
              </w:rPr>
            </w:pPr>
            <w:r w:rsidRPr="003A4396">
              <w:rPr>
                <w:rFonts w:ascii="Cambria" w:eastAsia="Times New Roman" w:hAnsi="Cambria" w:cs="Times New Roman"/>
                <w:b/>
                <w:sz w:val="21"/>
                <w:szCs w:val="21"/>
                <w:lang w:val="cs-CZ"/>
              </w:rPr>
              <w:t>Atbilstošā projekta iesnieguma sadaļa</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 xml:space="preserve">Projekta saturiskā atbilstība rīcībai. </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 xml:space="preserve">Punktu skaits netiek piemērots. Nosaka vai projekts </w:t>
            </w:r>
            <w:r w:rsidRPr="003A4396">
              <w:rPr>
                <w:rFonts w:ascii="Cambria" w:eastAsia="Times New Roman" w:hAnsi="Cambria" w:cs="Times New Roman"/>
                <w:b/>
                <w:sz w:val="21"/>
                <w:szCs w:val="21"/>
                <w:u w:val="single"/>
                <w:lang w:val="cs-CZ"/>
              </w:rPr>
              <w:t>atbilst</w:t>
            </w:r>
            <w:r w:rsidRPr="003A4396">
              <w:rPr>
                <w:rFonts w:ascii="Cambria" w:eastAsia="Times New Roman" w:hAnsi="Cambria" w:cs="Times New Roman"/>
                <w:sz w:val="21"/>
                <w:szCs w:val="21"/>
                <w:lang w:val="cs-CZ"/>
              </w:rPr>
              <w:t xml:space="preserve"> konkrētai rīcībai vai </w:t>
            </w:r>
            <w:r w:rsidRPr="003A4396">
              <w:rPr>
                <w:rFonts w:ascii="Cambria" w:eastAsia="Times New Roman" w:hAnsi="Cambria" w:cs="Times New Roman"/>
                <w:b/>
                <w:sz w:val="21"/>
                <w:szCs w:val="21"/>
                <w:u w:val="single"/>
                <w:lang w:val="cs-CZ"/>
              </w:rPr>
              <w:t>neatbilst</w:t>
            </w:r>
            <w:r w:rsidRPr="003A4396">
              <w:rPr>
                <w:rFonts w:ascii="Cambria" w:eastAsia="Times New Roman" w:hAnsi="Cambria" w:cs="Times New Roman"/>
                <w:sz w:val="21"/>
                <w:szCs w:val="21"/>
                <w:lang w:val="cs-CZ"/>
              </w:rPr>
              <w:t>. Tiek vērtēta titullapā un „B.Informācija par projektu“ norādītā informācija.</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Ja projekts neatbilst kondekrētai rīcībai, tas tālāk netiek vērtēts.</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Titullapa</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B.Informācija par projektu</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2.</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Produkta un/vai pakalpojuma unikalitāte/inovitāte</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b/>
                <w:sz w:val="21"/>
                <w:szCs w:val="21"/>
                <w:lang w:val="cs-CZ"/>
              </w:rPr>
              <w:t>1</w:t>
            </w:r>
            <w:r w:rsidRPr="003A4396">
              <w:rPr>
                <w:rFonts w:ascii="Cambria" w:eastAsia="Times New Roman" w:hAnsi="Cambria" w:cs="Times New Roman"/>
                <w:sz w:val="21"/>
                <w:szCs w:val="21"/>
                <w:lang w:val="cs-CZ"/>
              </w:rPr>
              <w:t xml:space="preserve"> – produkts/pakalpojums ir inovatīvs un/vai unikāls.</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b/>
                <w:sz w:val="21"/>
                <w:szCs w:val="21"/>
                <w:lang w:val="cs-CZ"/>
              </w:rPr>
              <w:t>0</w:t>
            </w:r>
            <w:r w:rsidRPr="003A4396">
              <w:rPr>
                <w:rFonts w:ascii="Cambria" w:eastAsia="Times New Roman" w:hAnsi="Cambria" w:cs="Times New Roman"/>
                <w:sz w:val="21"/>
                <w:szCs w:val="21"/>
                <w:lang w:val="cs-CZ"/>
              </w:rPr>
              <w:t xml:space="preserve"> – produkts/pakalpojums nav inovatīvs un/vai unikāls</w:t>
            </w:r>
          </w:p>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RDefault="003A4396" w:rsidP="003A4396">
            <w:pPr>
              <w:shd w:val="clear" w:color="auto" w:fill="FFFFFF"/>
              <w:spacing w:before="100" w:beforeAutospacing="1" w:after="100" w:afterAutospacing="1" w:line="293" w:lineRule="atLeast"/>
              <w:jc w:val="both"/>
              <w:rPr>
                <w:rFonts w:ascii="Cambria" w:eastAsia="Times New Roman" w:hAnsi="Cambria" w:cs="Times New Roman"/>
                <w:bCs/>
                <w:sz w:val="21"/>
                <w:szCs w:val="21"/>
                <w:lang w:val="cs-CZ"/>
              </w:rPr>
            </w:pPr>
            <w:r w:rsidRPr="003A4396">
              <w:rPr>
                <w:rFonts w:ascii="Cambria" w:eastAsia="Times New Roman" w:hAnsi="Cambria" w:cs="Times New Roman"/>
                <w:bCs/>
                <w:sz w:val="21"/>
                <w:szCs w:val="21"/>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rsidR="003A4396" w:rsidRPr="003A4396" w:rsidRDefault="003A4396" w:rsidP="003A4396">
            <w:pPr>
              <w:shd w:val="clear" w:color="auto" w:fill="FFFFFF"/>
              <w:spacing w:before="100" w:beforeAutospacing="1" w:after="100" w:afterAutospacing="1" w:line="293" w:lineRule="atLeast"/>
              <w:jc w:val="both"/>
              <w:rPr>
                <w:rFonts w:ascii="Cambria" w:eastAsia="Times New Roman" w:hAnsi="Cambria" w:cs="Times New Roman"/>
                <w:bCs/>
                <w:sz w:val="21"/>
                <w:szCs w:val="21"/>
                <w:lang w:val="cs-CZ"/>
              </w:rPr>
            </w:pPr>
            <w:r w:rsidRPr="003A4396">
              <w:rPr>
                <w:rFonts w:ascii="Cambria" w:eastAsia="Times New Roman" w:hAnsi="Cambria" w:cs="Times New Roman"/>
                <w:bCs/>
                <w:sz w:val="21"/>
                <w:szCs w:val="21"/>
                <w:lang w:val="cs-CZ"/>
              </w:rPr>
              <w:t>Unikāls produkts/pakalpojums – tāda prece vai pakalpojums, kurai ir ar citādāku un labāku vai ar neatkārtojamu īpašību nekā citiem tirgū pieejamajiem produktiem.</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p w:rsidR="003A4396" w:rsidRPr="003A4396" w:rsidRDefault="003A4396" w:rsidP="003A4396">
            <w:pPr>
              <w:spacing w:after="0" w:line="240" w:lineRule="auto"/>
              <w:rPr>
                <w:rFonts w:ascii="Cambria" w:eastAsia="Times New Roman" w:hAnsi="Cambria" w:cs="Times New Roman"/>
                <w:sz w:val="21"/>
                <w:szCs w:val="21"/>
                <w:lang w:val="cs-CZ"/>
              </w:rPr>
            </w:pP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B.3.1.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3.</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Pojektā radītā produkta/pakalpojuma „jauninājums“</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b/>
                <w:sz w:val="21"/>
                <w:szCs w:val="21"/>
                <w:lang w:val="cs-CZ"/>
              </w:rPr>
              <w:t>0,5</w:t>
            </w:r>
            <w:r w:rsidRPr="003A4396">
              <w:rPr>
                <w:rFonts w:ascii="Cambria" w:eastAsia="Times New Roman" w:hAnsi="Cambria" w:cs="Times New Roman"/>
                <w:sz w:val="21"/>
                <w:szCs w:val="21"/>
                <w:lang w:val="cs-CZ"/>
              </w:rPr>
              <w:t xml:space="preserve">  – produktam/pakalpojumam piemīt </w:t>
            </w:r>
            <w:r w:rsidRPr="003A4396">
              <w:rPr>
                <w:rFonts w:ascii="Cambria" w:eastAsia="Times New Roman" w:hAnsi="Cambria" w:cs="Times New Roman"/>
                <w:b/>
                <w:sz w:val="21"/>
                <w:szCs w:val="21"/>
                <w:lang w:val="cs-CZ"/>
              </w:rPr>
              <w:t>oriģinalitāte</w:t>
            </w:r>
            <w:r w:rsidRPr="003A4396">
              <w:rPr>
                <w:rFonts w:ascii="Cambria" w:eastAsia="Times New Roman" w:hAnsi="Cambria" w:cs="Times New Roman"/>
                <w:sz w:val="21"/>
                <w:szCs w:val="21"/>
                <w:lang w:val="cs-CZ"/>
              </w:rPr>
              <w:t xml:space="preserve"> -</w:t>
            </w:r>
            <w:r w:rsidRPr="003A4396">
              <w:rPr>
                <w:rFonts w:ascii="Cambria" w:eastAsia="Times New Roman" w:hAnsi="Cambria" w:cs="Times New Roman"/>
                <w:bCs/>
                <w:sz w:val="21"/>
                <w:szCs w:val="21"/>
                <w:lang w:val="cs-CZ"/>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3A4396">
              <w:rPr>
                <w:rFonts w:ascii="Cambria" w:eastAsia="Times New Roman" w:hAnsi="Cambria" w:cs="Times New Roman"/>
                <w:sz w:val="21"/>
                <w:szCs w:val="21"/>
                <w:lang w:val="cs-CZ"/>
              </w:rPr>
              <w:t xml:space="preserve"> Produkta/pakalpojuma jauninājums tiek vērtēts biedrības „Darīsim paši!“ darbības teritorijas griezumā.</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b/>
                <w:bCs/>
                <w:sz w:val="21"/>
                <w:szCs w:val="21"/>
                <w:lang w:val="cs-CZ"/>
              </w:rPr>
              <w:t>0,5</w:t>
            </w:r>
            <w:r w:rsidRPr="003A4396">
              <w:rPr>
                <w:rFonts w:ascii="Cambria" w:eastAsia="Times New Roman" w:hAnsi="Cambria" w:cs="Times New Roman"/>
                <w:sz w:val="21"/>
                <w:szCs w:val="21"/>
                <w:lang w:val="cs-CZ"/>
              </w:rPr>
              <w:t xml:space="preserve"> – </w:t>
            </w:r>
            <w:r w:rsidRPr="003A4396">
              <w:rPr>
                <w:rFonts w:ascii="Cambria" w:eastAsia="Times New Roman" w:hAnsi="Cambria" w:cs="Times New Roman"/>
                <w:bCs/>
                <w:sz w:val="21"/>
                <w:szCs w:val="21"/>
                <w:lang w:val="cs-CZ"/>
              </w:rPr>
              <w:t>jauna tirgus atklāšana – produkta ieviešana jaunā tirgū vai tirgus segmentā. Produkts/pakalpojums ir iegājis jaunā tirgū vai tirgus segmentā, jaunais tirgus un/vai segments ir aprakstīts projekta pieteikumā.</w:t>
            </w:r>
          </w:p>
          <w:p w:rsidR="003A4396" w:rsidRPr="003A4396" w:rsidRDefault="003A4396" w:rsidP="003A4396">
            <w:pPr>
              <w:spacing w:after="0" w:line="240" w:lineRule="auto"/>
              <w:rPr>
                <w:rFonts w:ascii="Cambria" w:eastAsia="Times New Roman" w:hAnsi="Cambria" w:cs="Times New Roman"/>
                <w:bCs/>
                <w:sz w:val="21"/>
                <w:szCs w:val="21"/>
                <w:lang w:val="cs-CZ"/>
              </w:rPr>
            </w:pPr>
            <w:r w:rsidRPr="003A4396">
              <w:rPr>
                <w:rFonts w:ascii="Cambria" w:eastAsia="Times New Roman" w:hAnsi="Cambria" w:cs="Times New Roman"/>
                <w:b/>
                <w:bCs/>
                <w:sz w:val="21"/>
                <w:szCs w:val="21"/>
                <w:lang w:val="cs-CZ"/>
              </w:rPr>
              <w:t>0,5</w:t>
            </w:r>
            <w:r w:rsidRPr="003A4396">
              <w:rPr>
                <w:rFonts w:ascii="Cambria" w:eastAsia="Times New Roman" w:hAnsi="Cambria" w:cs="Times New Roman"/>
                <w:sz w:val="21"/>
                <w:szCs w:val="21"/>
                <w:lang w:val="cs-CZ"/>
              </w:rPr>
              <w:t xml:space="preserve"> – VRG teritorijas </w:t>
            </w:r>
            <w:r w:rsidRPr="003A4396">
              <w:rPr>
                <w:rFonts w:ascii="Cambria" w:eastAsia="Times New Roman" w:hAnsi="Cambria" w:cs="Times New Roman"/>
                <w:bCs/>
                <w:sz w:val="21"/>
                <w:szCs w:val="21"/>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rsidR="003A4396" w:rsidRPr="003A4396" w:rsidRDefault="003A4396" w:rsidP="003A4396">
            <w:pPr>
              <w:spacing w:after="0" w:line="240" w:lineRule="auto"/>
              <w:rPr>
                <w:rFonts w:ascii="Cambria" w:eastAsia="Times New Roman" w:hAnsi="Cambria" w:cs="Times New Roman"/>
                <w:bCs/>
                <w:sz w:val="21"/>
                <w:szCs w:val="21"/>
                <w:lang w:val="cs-CZ"/>
              </w:rPr>
            </w:pPr>
            <w:r w:rsidRPr="003A4396">
              <w:rPr>
                <w:rFonts w:ascii="Cambria" w:eastAsia="Times New Roman" w:hAnsi="Cambria" w:cs="Times New Roman"/>
                <w:b/>
                <w:bCs/>
                <w:sz w:val="21"/>
                <w:szCs w:val="21"/>
                <w:lang w:val="cs-CZ"/>
              </w:rPr>
              <w:t>0,5</w:t>
            </w:r>
            <w:r w:rsidRPr="003A4396">
              <w:rPr>
                <w:rFonts w:ascii="Cambria" w:eastAsia="Times New Roman" w:hAnsi="Cambria" w:cs="Times New Roman"/>
                <w:sz w:val="21"/>
                <w:szCs w:val="21"/>
                <w:lang w:val="cs-CZ"/>
              </w:rPr>
              <w:t xml:space="preserve"> – p</w:t>
            </w:r>
            <w:r w:rsidRPr="003A4396">
              <w:rPr>
                <w:rFonts w:ascii="Cambria" w:eastAsia="Times New Roman" w:hAnsi="Cambria" w:cs="Times New Roman"/>
                <w:bCs/>
                <w:sz w:val="21"/>
                <w:szCs w:val="21"/>
                <w:lang w:val="cs-CZ"/>
              </w:rPr>
              <w:t>rodukta/pakalpojuma sasaiste ar zinātni un pētniecību - izmantoti jaunākie zinātnes sasniegumi, ir sadarbība ar augstskolām vai attiecīgās jomas zinātniekiem un pētniekiem.</w:t>
            </w:r>
          </w:p>
          <w:p w:rsidR="003A4396" w:rsidRPr="003A4396" w:rsidRDefault="003A4396" w:rsidP="003A4396">
            <w:pPr>
              <w:spacing w:after="0" w:line="240" w:lineRule="auto"/>
              <w:rPr>
                <w:rFonts w:ascii="Cambria" w:eastAsia="Times New Roman" w:hAnsi="Cambria" w:cs="Times New Roman"/>
                <w:bCs/>
                <w:i/>
                <w:sz w:val="21"/>
                <w:szCs w:val="21"/>
                <w:lang w:val="cs-CZ"/>
              </w:rPr>
            </w:pPr>
            <w:r w:rsidRPr="003A4396">
              <w:rPr>
                <w:rFonts w:ascii="Cambria" w:eastAsia="Times New Roman" w:hAnsi="Cambria" w:cs="Times New Roman"/>
                <w:bCs/>
                <w:i/>
                <w:sz w:val="21"/>
                <w:szCs w:val="21"/>
                <w:lang w:val="cs-CZ"/>
              </w:rPr>
              <w:t>Punkti summējas!</w:t>
            </w:r>
          </w:p>
          <w:p w:rsidR="003A4396" w:rsidRPr="003A4396" w:rsidRDefault="003A4396" w:rsidP="003A4396">
            <w:pPr>
              <w:spacing w:after="0" w:line="240" w:lineRule="auto"/>
              <w:rPr>
                <w:rFonts w:ascii="Cambria" w:eastAsia="Times New Roman" w:hAnsi="Cambria" w:cs="Times New Roman"/>
                <w:i/>
                <w:sz w:val="21"/>
                <w:szCs w:val="21"/>
                <w:lang w:val="cs-CZ"/>
              </w:rPr>
            </w:pPr>
            <w:r w:rsidRPr="003A4396">
              <w:rPr>
                <w:rFonts w:ascii="Cambria" w:eastAsia="Times New Roman" w:hAnsi="Cambria" w:cs="Times New Roman"/>
                <w:i/>
                <w:sz w:val="21"/>
                <w:szCs w:val="21"/>
                <w:lang w:val="cs-CZ"/>
              </w:rPr>
              <w:lastRenderedPageBreak/>
              <w:t>Lai saņemtu punktus, kat</w:t>
            </w:r>
            <w:r w:rsidR="004D7E26">
              <w:rPr>
                <w:rFonts w:ascii="Cambria" w:eastAsia="Times New Roman" w:hAnsi="Cambria" w:cs="Times New Roman"/>
                <w:i/>
                <w:sz w:val="21"/>
                <w:szCs w:val="21"/>
                <w:lang w:val="cs-CZ"/>
              </w:rPr>
              <w:t>r</w:t>
            </w:r>
            <w:r w:rsidRPr="003A4396">
              <w:rPr>
                <w:rFonts w:ascii="Cambria" w:eastAsia="Times New Roman" w:hAnsi="Cambria" w:cs="Times New Roman"/>
                <w:i/>
                <w:sz w:val="21"/>
                <w:szCs w:val="21"/>
                <w:lang w:val="cs-CZ"/>
              </w:rPr>
              <w:t>s no jauninājuma kritērijiem skaidri jāapraksta, konkrēti jānorāda un jāpamato sasaiste ar šo kritēriju.</w:t>
            </w:r>
          </w:p>
          <w:p w:rsidR="003A4396" w:rsidRPr="003A4396" w:rsidRDefault="003A4396" w:rsidP="003A4396">
            <w:pPr>
              <w:spacing w:after="0" w:line="240" w:lineRule="auto"/>
              <w:rPr>
                <w:rFonts w:ascii="Cambria" w:eastAsia="Times New Roman" w:hAnsi="Cambria" w:cs="Times New Roman"/>
                <w:i/>
                <w:sz w:val="21"/>
                <w:szCs w:val="21"/>
                <w:lang w:val="cs-CZ"/>
              </w:rPr>
            </w:pPr>
          </w:p>
          <w:p w:rsidR="003A4396" w:rsidRPr="003A4396" w:rsidRDefault="003A4396" w:rsidP="003A4396">
            <w:pPr>
              <w:spacing w:after="0" w:line="240" w:lineRule="auto"/>
              <w:rPr>
                <w:rFonts w:ascii="Cambria" w:eastAsia="Times New Roman" w:hAnsi="Cambria" w:cs="Times New Roman"/>
                <w:i/>
                <w:sz w:val="21"/>
                <w:szCs w:val="21"/>
                <w:lang w:val="cs-CZ"/>
              </w:rPr>
            </w:pPr>
            <w:r w:rsidRPr="003A4396">
              <w:rPr>
                <w:rFonts w:ascii="Cambria" w:eastAsia="Times New Roman" w:hAnsi="Cambria" w:cs="Times New Roman"/>
                <w:i/>
                <w:sz w:val="21"/>
                <w:szCs w:val="21"/>
                <w:lang w:val="cs-CZ"/>
              </w:rPr>
              <w:t>„Jauninājums“ – tāds, kas atšķiras no citiem (jauns, nebijis, sav</w:t>
            </w:r>
            <w:bookmarkStart w:id="0" w:name="_GoBack"/>
            <w:bookmarkEnd w:id="0"/>
            <w:r w:rsidRPr="003A4396">
              <w:rPr>
                <w:rFonts w:ascii="Cambria" w:eastAsia="Times New Roman" w:hAnsi="Cambria" w:cs="Times New Roman"/>
                <w:i/>
                <w:sz w:val="21"/>
                <w:szCs w:val="21"/>
                <w:lang w:val="cs-CZ"/>
              </w:rPr>
              <w:t>dabīgs, oriģināls), kā arī līdzīga ideja nav īstenota biedrības teritorijā, ir netradicionāls risinājums, atšķirīga pieeja, sava identitāte, kas veicina arī biedrības teritorijas atpazīstamību.</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lastRenderedPageBreak/>
              <w:t>B.3.1.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4.</w:t>
            </w:r>
          </w:p>
        </w:tc>
        <w:tc>
          <w:tcPr>
            <w:tcW w:w="2320" w:type="dxa"/>
            <w:shd w:val="clear" w:color="auto" w:fill="auto"/>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Projekta īstenošana ieviesīs jauninājumu/inovāciju vietējās rīcības grupas  teritorijā</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projekts rada jauninājumu visā vietējās rīcības grupas teritorijā vai aptver plašāku teritoriju.</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1,5</w:t>
            </w:r>
            <w:r w:rsidRPr="003A4396">
              <w:rPr>
                <w:rFonts w:ascii="Calibri" w:eastAsia="Times New Roman" w:hAnsi="Calibri" w:cs="Times New Roman"/>
                <w:sz w:val="21"/>
                <w:szCs w:val="21"/>
                <w:lang w:val="cs-CZ"/>
              </w:rPr>
              <w:t xml:space="preserve"> – projekts rada jauninājumu reģionālās nozīmes centrā un/vai novadu nozīmes attīstības centros</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 xml:space="preserve"> (vienā vai vairākos).</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projekts rada jauninājumu vietējās nozīmes centrā, lielajā ciemā</w:t>
            </w:r>
            <w:r w:rsidRPr="003A4396">
              <w:rPr>
                <w:rFonts w:ascii="Calibri" w:eastAsia="Times New Roman" w:hAnsi="Calibri" w:cs="Times New Roman"/>
                <w:b/>
                <w:vertAlign w:val="superscript"/>
                <w:lang w:val="cs-CZ"/>
              </w:rPr>
              <w:t>2</w:t>
            </w:r>
            <w:r w:rsidRPr="003A4396">
              <w:rPr>
                <w:rFonts w:ascii="Calibri" w:eastAsia="Times New Roman" w:hAnsi="Calibri" w:cs="Times New Roman"/>
                <w:sz w:val="21"/>
                <w:szCs w:val="21"/>
                <w:lang w:val="cs-CZ"/>
              </w:rPr>
              <w:t xml:space="preserve"> (vienā vai vairākos).</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0,5</w:t>
            </w:r>
            <w:r w:rsidRPr="003A4396">
              <w:rPr>
                <w:rFonts w:ascii="Calibri" w:eastAsia="Times New Roman" w:hAnsi="Calibri" w:cs="Times New Roman"/>
                <w:sz w:val="21"/>
                <w:szCs w:val="21"/>
                <w:lang w:val="cs-CZ"/>
              </w:rPr>
              <w:t xml:space="preserve"> – projekts rada jauninājumu tikai uzņēmuma/organizācijas līmenī.</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netiek radīts jauninājums/inovācija.</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i/>
                <w:sz w:val="21"/>
                <w:szCs w:val="21"/>
                <w:lang w:val="cs-CZ"/>
              </w:rPr>
              <w:t>Tiek vērtēts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rsidR="003A4396" w:rsidRPr="003A4396" w:rsidRDefault="003A4396" w:rsidP="003A4396">
            <w:pPr>
              <w:spacing w:after="0" w:line="240" w:lineRule="auto"/>
              <w:jc w:val="both"/>
              <w:rPr>
                <w:rFonts w:ascii="Calibri" w:eastAsia="Times New Roman" w:hAnsi="Calibri" w:cs="Times New Roman"/>
                <w:i/>
                <w:sz w:val="21"/>
                <w:szCs w:val="21"/>
                <w:lang w:val="cs-CZ"/>
              </w:rPr>
            </w:pPr>
          </w:p>
          <w:p w:rsidR="003A4396" w:rsidRPr="003A4396" w:rsidRDefault="003A4396" w:rsidP="003A4396">
            <w:pPr>
              <w:spacing w:after="0" w:line="312" w:lineRule="auto"/>
              <w:jc w:val="both"/>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t>1</w:t>
            </w:r>
            <w:r w:rsidRPr="003A4396">
              <w:rPr>
                <w:rFonts w:ascii="Calibri" w:eastAsia="Times New Roman" w:hAnsi="Calibri" w:cs="Times New Roman"/>
                <w:b/>
                <w:sz w:val="20"/>
                <w:szCs w:val="20"/>
                <w:lang w:val="cs-CZ"/>
              </w:rPr>
              <w:t xml:space="preserve"> Reģionālās nozīmes attīstības centrs – </w:t>
            </w:r>
            <w:r w:rsidRPr="003A4396">
              <w:rPr>
                <w:rFonts w:ascii="Calibri" w:eastAsia="Times New Roman" w:hAnsi="Calibri" w:cs="Times New Roman"/>
                <w:sz w:val="20"/>
                <w:szCs w:val="20"/>
                <w:lang w:val="cs-CZ"/>
              </w:rPr>
              <w:t>Kuldīga.</w:t>
            </w:r>
            <w:r w:rsidRPr="003A4396">
              <w:rPr>
                <w:rFonts w:ascii="Calibri" w:eastAsia="Times New Roman" w:hAnsi="Calibri" w:cs="Times New Roman"/>
                <w:b/>
                <w:sz w:val="20"/>
                <w:szCs w:val="20"/>
                <w:lang w:val="cs-CZ"/>
              </w:rPr>
              <w:t xml:space="preserve"> </w:t>
            </w:r>
          </w:p>
          <w:p w:rsidR="003A4396" w:rsidRPr="003A4396" w:rsidRDefault="003A4396" w:rsidP="003A4396">
            <w:pPr>
              <w:spacing w:after="0" w:line="312" w:lineRule="auto"/>
              <w:jc w:val="both"/>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t>1</w:t>
            </w:r>
            <w:r w:rsidRPr="003A4396">
              <w:rPr>
                <w:rFonts w:ascii="Calibri" w:eastAsia="Times New Roman" w:hAnsi="Calibri" w:cs="Times New Roman"/>
                <w:b/>
                <w:sz w:val="20"/>
                <w:szCs w:val="20"/>
                <w:lang w:val="cs-CZ"/>
              </w:rPr>
              <w:t xml:space="preserve"> Novadu nozīmes attīstības centri – </w:t>
            </w:r>
            <w:r w:rsidRPr="003A4396">
              <w:rPr>
                <w:rFonts w:ascii="Calibri" w:eastAsia="Times New Roman" w:hAnsi="Calibri" w:cs="Times New Roman"/>
                <w:sz w:val="20"/>
                <w:szCs w:val="20"/>
                <w:lang w:val="cs-CZ"/>
              </w:rPr>
              <w:t>Skrunda, Alsunga.</w:t>
            </w:r>
          </w:p>
          <w:p w:rsidR="003A4396" w:rsidRPr="003A4396" w:rsidRDefault="003A4396" w:rsidP="003A4396">
            <w:pPr>
              <w:spacing w:after="0" w:line="312" w:lineRule="auto"/>
              <w:jc w:val="both"/>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t>2</w:t>
            </w:r>
            <w:r w:rsidRPr="003A4396">
              <w:rPr>
                <w:rFonts w:ascii="Calibri" w:eastAsia="Times New Roman" w:hAnsi="Calibri" w:cs="Times New Roman"/>
                <w:b/>
                <w:sz w:val="20"/>
                <w:szCs w:val="20"/>
                <w:lang w:val="cs-CZ"/>
              </w:rPr>
              <w:t xml:space="preserve"> Vietējās nozīmes centri, lielie ciemi.</w:t>
            </w:r>
          </w:p>
          <w:p w:rsidR="003A4396" w:rsidRPr="003A4396" w:rsidRDefault="003A4396" w:rsidP="003A4396">
            <w:pPr>
              <w:spacing w:after="0" w:line="312" w:lineRule="auto"/>
              <w:jc w:val="both"/>
              <w:rPr>
                <w:rFonts w:ascii="Calibri" w:eastAsia="Times New Roman" w:hAnsi="Calibri" w:cs="Times New Roman"/>
                <w:sz w:val="20"/>
                <w:szCs w:val="20"/>
                <w:lang w:val="cs-CZ"/>
              </w:rPr>
            </w:pPr>
            <w:r w:rsidRPr="003A4396">
              <w:rPr>
                <w:rFonts w:ascii="Calibri" w:eastAsia="Times New Roman" w:hAnsi="Calibri" w:cs="Times New Roman"/>
                <w:sz w:val="20"/>
                <w:szCs w:val="20"/>
                <w:lang w:val="cs-CZ"/>
              </w:rPr>
              <w:t>Vārme, Rudbārži, Dzelda, Ēdole, Pelči, Renda, Mežvalde, Kabile, Snēpele, Turlava, Laidi, Vilgāle, Padure, Gudenieki, Īvande.</w:t>
            </w:r>
          </w:p>
          <w:p w:rsidR="003A4396" w:rsidRPr="003A4396" w:rsidRDefault="003A4396" w:rsidP="003A4396">
            <w:pPr>
              <w:spacing w:after="0" w:line="312" w:lineRule="auto"/>
              <w:jc w:val="both"/>
              <w:rPr>
                <w:rFonts w:ascii="Cambria" w:eastAsia="Times New Roman" w:hAnsi="Cambria" w:cs="Times New Roman"/>
                <w:sz w:val="21"/>
                <w:szCs w:val="21"/>
                <w:lang w:val="cs-CZ"/>
              </w:rPr>
            </w:pPr>
          </w:p>
          <w:p w:rsidR="003A4396" w:rsidRPr="003A4396" w:rsidRDefault="003A4396" w:rsidP="003A4396">
            <w:pPr>
              <w:spacing w:after="0" w:line="312" w:lineRule="auto"/>
              <w:jc w:val="both"/>
              <w:rPr>
                <w:rFonts w:ascii="Cambria" w:eastAsia="Times New Roman" w:hAnsi="Cambria" w:cs="Times New Roman"/>
                <w:sz w:val="21"/>
                <w:szCs w:val="21"/>
                <w:lang w:val="cs-CZ"/>
              </w:rPr>
            </w:pPr>
            <w:r w:rsidRPr="003A4396">
              <w:rPr>
                <w:rFonts w:ascii="Cambria" w:eastAsia="Times New Roman" w:hAnsi="Cambria" w:cs="Times New Roman"/>
                <w:i/>
                <w:sz w:val="21"/>
                <w:szCs w:val="21"/>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3A4396" w:rsidRPr="003A4396" w:rsidDel="0087338D" w:rsidRDefault="003A4396" w:rsidP="003A4396">
            <w:pPr>
              <w:spacing w:after="0" w:line="240" w:lineRule="auto"/>
              <w:rPr>
                <w:rFonts w:ascii="Cambria" w:eastAsia="Times New Roman" w:hAnsi="Cambria" w:cs="Times New Roman"/>
                <w:sz w:val="21"/>
                <w:szCs w:val="21"/>
                <w:lang w:val="cs-CZ"/>
              </w:rPr>
            </w:pP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B.3.1.</w:t>
            </w:r>
          </w:p>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5.</w:t>
            </w:r>
          </w:p>
        </w:tc>
        <w:tc>
          <w:tcPr>
            <w:tcW w:w="2320" w:type="dxa"/>
            <w:shd w:val="clear" w:color="auto" w:fill="auto"/>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Atbalsta pretendents reģistrēts/deklarēts VRG darbības teritorijā</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ja atbalsta pretendents, fiziska vai juridiska persona, reģistrēta ārpus VRG teritorijas.</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lastRenderedPageBreak/>
              <w:t>Koppprojekta gadījumā vismaz vienam dalībniekam jābūt reģistrētam VRG teritorijā vienu gadu līdz projekta iesniegšanai.</w:t>
            </w:r>
          </w:p>
          <w:p w:rsidR="003A4396" w:rsidRPr="003A4396" w:rsidRDefault="003A4396" w:rsidP="003A4396">
            <w:pPr>
              <w:spacing w:after="0" w:line="240" w:lineRule="auto"/>
              <w:jc w:val="both"/>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i/>
                <w:sz w:val="21"/>
                <w:szCs w:val="21"/>
                <w:lang w:val="cs-CZ"/>
              </w:rPr>
              <w:t>Atbalsta pretendents – fiziska persona projekta iesniegumam pievieno izziņu vai izdruku no Pilsonības un migrācijas lietu pārvaldes reģistra par deklarēto dzīvesvietu.</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i/>
                <w:sz w:val="21"/>
                <w:szCs w:val="21"/>
                <w:lang w:val="cs-CZ"/>
              </w:rPr>
              <w:t>Juridisko personu informācija tiek pārbaudīta pēc publiski pieejamās informācijas.</w:t>
            </w:r>
          </w:p>
          <w:p w:rsidR="003A4396" w:rsidRPr="003A4396" w:rsidDel="0087338D" w:rsidRDefault="003A4396" w:rsidP="003A4396">
            <w:pPr>
              <w:spacing w:after="0" w:line="240" w:lineRule="auto"/>
              <w:rPr>
                <w:rFonts w:ascii="Cambria" w:eastAsia="Times New Roman" w:hAnsi="Cambria" w:cs="Times New Roman"/>
                <w:sz w:val="21"/>
                <w:szCs w:val="21"/>
                <w:lang w:val="cs-CZ"/>
              </w:rPr>
            </w:pPr>
          </w:p>
        </w:tc>
        <w:tc>
          <w:tcPr>
            <w:tcW w:w="2240" w:type="dxa"/>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lastRenderedPageBreak/>
              <w:t>D. Pavaddokumenti „Citi iesniegtie dokumentu“ pievienota izziņa vai izdruka, ja attiecas</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6.</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Kopprojekts</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tiek īstenots kopprojekts *</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netiek īstenots kopprojekts</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libri" w:eastAsia="Times New Roman" w:hAnsi="Calibri" w:cs="Times New Roman"/>
                <w:b/>
                <w:sz w:val="21"/>
                <w:szCs w:val="21"/>
                <w:lang w:val="cs-CZ"/>
              </w:rPr>
            </w:pPr>
            <w:r w:rsidRPr="003A4396">
              <w:rPr>
                <w:rFonts w:ascii="Calibri" w:eastAsia="Times New Roman" w:hAnsi="Calibri" w:cs="Times New Roman"/>
                <w:sz w:val="21"/>
                <w:szCs w:val="21"/>
                <w:lang w:val="cs-CZ"/>
              </w:rPr>
              <w:t>*Kopprojekts – saskaņā ar 13.10.2016. MK noteikumiem nr. 590 „</w:t>
            </w:r>
            <w:r w:rsidRPr="003A4396">
              <w:rPr>
                <w:rFonts w:ascii="Cambria" w:eastAsia="Times New Roman" w:hAnsi="Cambria" w:cs="Times New Roman"/>
                <w:sz w:val="21"/>
                <w:szCs w:val="21"/>
                <w:lang w:val="cs-CZ"/>
              </w:rPr>
              <w:t>Valsts un Eiropas Savienības atbalsta piešķiršanas kārtība lauku attīstībai apakšpasākumā "Darbību īstenošana saskaņā ar sabiedrības virzītas vietējās attīstības stratēģiju".</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B.4.</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7.</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Projekta darbības virziens</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 xml:space="preserve">2 </w:t>
            </w:r>
            <w:r w:rsidRPr="003A4396">
              <w:rPr>
                <w:rFonts w:ascii="Calibri" w:eastAsia="Times New Roman" w:hAnsi="Calibri" w:cs="Times New Roman"/>
                <w:sz w:val="21"/>
                <w:szCs w:val="21"/>
                <w:lang w:val="cs-CZ"/>
              </w:rPr>
              <w:t xml:space="preserve">– ražošana </w:t>
            </w:r>
            <w:r w:rsidRPr="003A4396">
              <w:rPr>
                <w:rFonts w:ascii="Calibri" w:eastAsia="Times New Roman" w:hAnsi="Calibri" w:cs="Times New Roman"/>
                <w:vertAlign w:val="superscript"/>
                <w:lang w:val="cs-CZ"/>
              </w:rPr>
              <w:t>1</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 xml:space="preserve">1 </w:t>
            </w:r>
            <w:r w:rsidRPr="003A4396">
              <w:rPr>
                <w:rFonts w:ascii="Calibri" w:eastAsia="Times New Roman" w:hAnsi="Calibri" w:cs="Times New Roman"/>
                <w:sz w:val="21"/>
                <w:szCs w:val="21"/>
                <w:lang w:val="cs-CZ"/>
              </w:rPr>
              <w:t>– pakalpojuma</w:t>
            </w:r>
            <w:r w:rsidRPr="003A4396">
              <w:rPr>
                <w:rFonts w:ascii="Calibri" w:eastAsia="Times New Roman" w:hAnsi="Calibri" w:cs="Times New Roman"/>
                <w:vertAlign w:val="superscript"/>
                <w:lang w:val="cs-CZ"/>
              </w:rPr>
              <w:t xml:space="preserve">2 </w:t>
            </w:r>
            <w:r w:rsidRPr="003A4396">
              <w:rPr>
                <w:rFonts w:ascii="Calibri" w:eastAsia="Times New Roman" w:hAnsi="Calibri" w:cs="Times New Roman"/>
                <w:sz w:val="21"/>
                <w:szCs w:val="21"/>
                <w:lang w:val="cs-CZ"/>
              </w:rPr>
              <w:t>sniegšana</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Vērtējums kritērijos nesummējas – tiek ņemts vērā prioritārais darbības virziens.</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vertAlign w:val="superscript"/>
                <w:lang w:val="cs-CZ"/>
              </w:rPr>
              <w:t xml:space="preserve">1 </w:t>
            </w:r>
            <w:r w:rsidRPr="003A4396">
              <w:rPr>
                <w:rFonts w:ascii="Calibri" w:eastAsia="Times New Roman" w:hAnsi="Calibri" w:cs="Times New Roman"/>
                <w:sz w:val="21"/>
                <w:szCs w:val="21"/>
                <w:lang w:val="cs-CZ"/>
              </w:rPr>
              <w:t>Ražošana – process, kurā tiek radīta pārdošanai tirgū domāti produkti.</w:t>
            </w:r>
          </w:p>
          <w:p w:rsidR="003A4396" w:rsidRPr="003A4396" w:rsidRDefault="003A4396" w:rsidP="003A4396">
            <w:pPr>
              <w:spacing w:after="0" w:line="240" w:lineRule="auto"/>
              <w:jc w:val="both"/>
              <w:rPr>
                <w:rFonts w:ascii="Calibri" w:eastAsia="Times New Roman" w:hAnsi="Calibri" w:cs="Times New Roman"/>
                <w:b/>
                <w:sz w:val="21"/>
                <w:szCs w:val="21"/>
                <w:lang w:val="cs-CZ"/>
              </w:rPr>
            </w:pPr>
            <w:r w:rsidRPr="003A4396">
              <w:rPr>
                <w:rFonts w:ascii="Calibri" w:eastAsia="Times New Roman" w:hAnsi="Calibri" w:cs="Times New Roman"/>
                <w:vertAlign w:val="superscript"/>
                <w:lang w:val="cs-CZ"/>
              </w:rPr>
              <w:t xml:space="preserve">2 </w:t>
            </w:r>
            <w:r w:rsidRPr="003A4396">
              <w:rPr>
                <w:rFonts w:ascii="Calibri" w:eastAsia="Times New Roman" w:hAnsi="Calibri" w:cs="Times New Roman"/>
                <w:sz w:val="21"/>
                <w:szCs w:val="21"/>
                <w:lang w:val="cs-CZ"/>
              </w:rPr>
              <w:t>Pakalpojums – dažāda veida palīdzības sniegšana ekonomikā un uzņēmējdarbībā fiziskām vai juridiskām personām par atlīdzību</w:t>
            </w:r>
            <w:r w:rsidRPr="003A4396">
              <w:rPr>
                <w:rFonts w:ascii="Calibri" w:eastAsia="Times New Roman" w:hAnsi="Calibri" w:cs="Times New Roman"/>
                <w:b/>
                <w:sz w:val="21"/>
                <w:szCs w:val="21"/>
                <w:lang w:val="cs-CZ"/>
              </w:rPr>
              <w:t>.</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B.5.</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8.</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Projekta darbības joma</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mājražošana, amatniecība, vietējo produktu tirdzniecības vietas izveide</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iepriekš nenosauktās darbības jomas</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B.5.</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9.</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Obligāti pievienojamie pavaddokumentu</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pievienoti visi obligāti pievienojamie pavaddokumenti*.</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iesniegts kāds no obligāti pievienojamajiem pavaddokumentiem.</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 Obligāti pievienojamiem dokumenti - saskaņā ar 13.10.2016. MK noteikumiem nr. 590 „</w:t>
            </w:r>
            <w:r w:rsidRPr="003A4396">
              <w:rPr>
                <w:rFonts w:ascii="Cambria" w:eastAsia="Times New Roman" w:hAnsi="Cambria" w:cs="Times New Roman"/>
                <w:sz w:val="21"/>
                <w:szCs w:val="21"/>
                <w:lang w:val="cs-CZ"/>
              </w:rPr>
              <w:t>Valsts un Eiropas Savienības atbalsta piešķiršanas kārtība lauku attīstībai apakšpasākumā "Darbību īstenošana saskaņā ar sabiedrības virzītas vietējās attīstības stratēģiju" p. 43.</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D. Pavaddokumenti</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10.</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Sasniedzamie rādītāji</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projekta rezultātā tiek sasniegti 2 rādītāji – radīta darba vieta un neto apgrozījums.</w:t>
            </w:r>
          </w:p>
          <w:p w:rsidR="003A4396" w:rsidRPr="003A4396" w:rsidRDefault="003A4396" w:rsidP="003A4396">
            <w:pPr>
              <w:spacing w:after="0" w:line="240" w:lineRule="auto"/>
              <w:rPr>
                <w:rFonts w:ascii="Calibri" w:eastAsia="Times New Roman" w:hAnsi="Calibri" w:cs="Times New Roman"/>
                <w:b/>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projekta rezultātā tiek sasniegts 1 rādītājs – radīta darba vieta vai neto apgrozījums.</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B.4.</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B.4.2.</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11.</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Projekta īstenošanas vietas fotofiksācijas</w:t>
            </w:r>
          </w:p>
        </w:tc>
        <w:tc>
          <w:tcPr>
            <w:tcW w:w="9643"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pievienotas projekta īstenošanas vietas fotofiksācijas.</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pievienotas projekta īstenošanas vietas fotofiksācijas.</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D. Pavaddokumenti</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12.</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Iesniegto un/vai realizēto projektu pieredze</w:t>
            </w:r>
          </w:p>
        </w:tc>
        <w:tc>
          <w:tcPr>
            <w:tcW w:w="9643" w:type="dxa"/>
            <w:shd w:val="clear" w:color="auto" w:fill="auto"/>
          </w:tcPr>
          <w:p w:rsidR="003A4396" w:rsidRPr="003A4396" w:rsidRDefault="003A4396" w:rsidP="003A4396">
            <w:pPr>
              <w:spacing w:after="0" w:line="240" w:lineRule="auto"/>
              <w:jc w:val="both"/>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2014.-2020. plānošanas periodā veiksmīgi realizēts vai realizācijā esošs projekts „Darīsim paši!“ teritorijā līdz jauna projekta pieteikuma iesniegšanas brīdim vai pirms tam nav bijis iesniegts neviens projekts.</w:t>
            </w:r>
          </w:p>
          <w:p w:rsidR="003A4396" w:rsidRPr="003A4396" w:rsidRDefault="003A4396" w:rsidP="003A4396">
            <w:pPr>
              <w:spacing w:after="0" w:line="240" w:lineRule="auto"/>
              <w:jc w:val="both"/>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lastRenderedPageBreak/>
              <w:t>0</w:t>
            </w:r>
            <w:r w:rsidRPr="003A4396">
              <w:rPr>
                <w:rFonts w:ascii="Calibri" w:eastAsia="Times New Roman" w:hAnsi="Calibri" w:cs="Times New Roman"/>
                <w:sz w:val="21"/>
                <w:szCs w:val="21"/>
                <w:lang w:val="cs-CZ"/>
              </w:rPr>
              <w:t xml:space="preserve"> – 2014.-2020.plānošanas periodā iesniegts un LAD apstiprināts projekts, kur plānotas darbības „Darīsim paši!“ teritorijā, bet projekts tika atsaukts vai projektam tika pārtrauktas saistības.</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sz w:val="21"/>
                <w:szCs w:val="21"/>
                <w:lang w:val="cs-CZ"/>
              </w:rPr>
              <w:t xml:space="preserve">Tiek ņemta vērā projektu iesniegšana </w:t>
            </w:r>
            <w:r w:rsidRPr="003A4396">
              <w:rPr>
                <w:rFonts w:ascii="Cambria" w:eastAsia="Times New Roman" w:hAnsi="Cambria" w:cs="Times New Roman"/>
                <w:sz w:val="21"/>
                <w:szCs w:val="21"/>
                <w:lang w:val="cs-CZ"/>
              </w:rPr>
              <w:t>LAP pasākumā "Atbalsts LEADER vietējai attīstībai".</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p>
        </w:tc>
      </w:tr>
      <w:tr w:rsidR="003A4396" w:rsidRPr="003A4396" w:rsidTr="001950FC">
        <w:tc>
          <w:tcPr>
            <w:tcW w:w="681" w:type="dxa"/>
            <w:shd w:val="clear" w:color="auto" w:fill="auto"/>
          </w:tcPr>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13.</w:t>
            </w:r>
          </w:p>
        </w:tc>
        <w:tc>
          <w:tcPr>
            <w:tcW w:w="2320" w:type="dxa"/>
            <w:shd w:val="clear" w:color="auto" w:fill="auto"/>
          </w:tcPr>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Tirgus izpēte</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ir veikta tirgus izpēte (ar to saprotot vismaz šādas informācijas sniegšanu – esošo konkurentu uzskaite un to novērtējums, t.sk. ir pievienoti apliecinoši dokumenti</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veikta tirgus izpēte - nav veikts konkurentu izvērtējums, nav produkta/pakalpojuma raksturīgāko iezīmju un atšķirības no konkurentiem apraksta</w:t>
            </w:r>
          </w:p>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t>1</w:t>
            </w:r>
            <w:r w:rsidRPr="003A4396">
              <w:rPr>
                <w:rFonts w:ascii="Cambria" w:eastAsia="Times New Roman" w:hAnsi="Cambria" w:cs="Times New Roman"/>
                <w:sz w:val="21"/>
                <w:szCs w:val="21"/>
                <w:lang w:val="cs-CZ"/>
              </w:rP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p w:rsidR="003A4396" w:rsidRPr="003A4396" w:rsidDel="0087338D"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Pielikumā pievienotie dokumenti.</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14.</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Produkta/pakalpojuma apraksts</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ir skaidrs un saprotams produkta/pakalpojuma apraksts</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 xml:space="preserve">. </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daļējs/nepilnīgs</w:t>
            </w:r>
            <w:r w:rsidRPr="003A4396">
              <w:rPr>
                <w:rFonts w:ascii="Calibri" w:eastAsia="Times New Roman" w:hAnsi="Calibri" w:cs="Times New Roman"/>
                <w:b/>
                <w:vertAlign w:val="superscript"/>
                <w:lang w:val="cs-CZ"/>
              </w:rPr>
              <w:t>2</w:t>
            </w:r>
            <w:r w:rsidRPr="003A4396">
              <w:rPr>
                <w:rFonts w:ascii="Calibri" w:eastAsia="Times New Roman" w:hAnsi="Calibri" w:cs="Times New Roman"/>
                <w:sz w:val="21"/>
                <w:szCs w:val="21"/>
                <w:lang w:val="cs-CZ"/>
              </w:rPr>
              <w:t xml:space="preserve"> produkta/pakalpojuma apraksts.</w:t>
            </w:r>
          </w:p>
          <w:p w:rsidR="003A4396" w:rsidRPr="003A4396" w:rsidRDefault="003A4396" w:rsidP="003A4396">
            <w:pPr>
              <w:spacing w:after="0" w:line="240" w:lineRule="auto"/>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nav produkta/pakalpojuma apraksts.</w:t>
            </w:r>
          </w:p>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RDefault="003A4396" w:rsidP="003A4396">
            <w:pPr>
              <w:spacing w:after="0" w:line="240" w:lineRule="auto"/>
              <w:rPr>
                <w:rFonts w:ascii="Calibri" w:eastAsia="Times New Roman" w:hAnsi="Calibri" w:cs="Calibri"/>
                <w:b/>
                <w:i/>
                <w:vertAlign w:val="superscript"/>
                <w:lang w:val="cs-CZ"/>
              </w:rPr>
            </w:pPr>
            <w:r w:rsidRPr="003A4396">
              <w:rPr>
                <w:rFonts w:ascii="Calibri" w:eastAsia="Times New Roman" w:hAnsi="Calibri" w:cs="Calibri"/>
                <w:b/>
                <w:i/>
                <w:vertAlign w:val="superscript"/>
                <w:lang w:val="cs-CZ"/>
              </w:rPr>
              <w:t xml:space="preserve">1 </w:t>
            </w:r>
            <w:r w:rsidRPr="003A4396">
              <w:rPr>
                <w:rFonts w:ascii="Calibri" w:eastAsia="Times New Roman" w:hAnsi="Calibri" w:cs="Calibri"/>
                <w:i/>
                <w:lang w:val="cs-CZ"/>
              </w:rPr>
              <w:t>Apraksts – pakalpojuma sniegšanas / produkta radīšanas procesa nodrošināšanas apraksts (piem. ko darīs, kas darīs, kas nepieciešams, kādi resursi nepieciešami u.t.t.)</w:t>
            </w:r>
          </w:p>
          <w:p w:rsidR="003A4396" w:rsidRPr="003A4396" w:rsidRDefault="003A4396" w:rsidP="003A4396">
            <w:pPr>
              <w:spacing w:after="0" w:line="240" w:lineRule="auto"/>
              <w:rPr>
                <w:rFonts w:ascii="Calibri" w:eastAsia="Times New Roman" w:hAnsi="Calibri" w:cs="Calibri"/>
                <w:lang w:val="cs-CZ"/>
              </w:rPr>
            </w:pPr>
            <w:r w:rsidRPr="003A4396">
              <w:rPr>
                <w:rFonts w:ascii="Calibri" w:eastAsia="Times New Roman" w:hAnsi="Calibri" w:cs="Calibri"/>
                <w:b/>
                <w:i/>
                <w:vertAlign w:val="superscript"/>
                <w:lang w:val="cs-CZ"/>
              </w:rPr>
              <w:t>2</w:t>
            </w:r>
            <w:r w:rsidRPr="003A4396">
              <w:rPr>
                <w:rFonts w:ascii="Calibri" w:eastAsia="Times New Roman" w:hAnsi="Calibri" w:cs="Calibri"/>
                <w:i/>
                <w:lang w:val="cs-CZ"/>
              </w:rPr>
              <w:t xml:space="preserve"> Daļējs/nepilnīgs apraksts – sniegtā informācija nav skaidri un nepārprotami saprotama trešajai personai.</w:t>
            </w:r>
          </w:p>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RDefault="003A4396" w:rsidP="003A4396">
            <w:pPr>
              <w:spacing w:after="0" w:line="240" w:lineRule="auto"/>
              <w:rPr>
                <w:rFonts w:ascii="Cambria" w:eastAsia="Times New Roman" w:hAnsi="Cambria" w:cs="Times New Roman"/>
                <w:sz w:val="21"/>
                <w:szCs w:val="21"/>
                <w:lang w:val="cs-CZ"/>
              </w:rPr>
            </w:pP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15.</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Projekta budžeta pamatojums</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naudas plūsma apliecina projekta ilgtspēju, pozitīvu naudas plūsmu 5 gadus, naudas plūsmā uzrādīti ienākumi un izdevumi, kas nepieciešami veiksmīgai projekta realizācijai un ilgtspējai.</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naudas plūsmā nebūtiskas kļūdas.</w:t>
            </w:r>
          </w:p>
          <w:p w:rsidR="003A4396" w:rsidRPr="003A4396" w:rsidRDefault="003A4396" w:rsidP="003A4396">
            <w:pPr>
              <w:spacing w:after="0" w:line="240" w:lineRule="auto"/>
              <w:jc w:val="both"/>
              <w:rPr>
                <w:rFonts w:ascii="Calibri" w:eastAsia="Times New Roman" w:hAnsi="Calibri"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3A4396">
              <w:rPr>
                <w:rFonts w:ascii="Calibri" w:eastAsia="Times New Roman" w:hAnsi="Calibri" w:cs="Times New Roman"/>
                <w:b/>
                <w:vertAlign w:val="superscript"/>
                <w:lang w:val="cs-CZ"/>
              </w:rPr>
              <w:t xml:space="preserve"> 1</w:t>
            </w:r>
            <w:r w:rsidRPr="003A4396">
              <w:rPr>
                <w:rFonts w:ascii="Calibri" w:eastAsia="Times New Roman" w:hAnsi="Calibri" w:cs="Times New Roman"/>
                <w:sz w:val="21"/>
                <w:szCs w:val="21"/>
                <w:lang w:val="cs-CZ"/>
              </w:rPr>
              <w:t>(ja atbalsta pretendents ir norādījis darba vietu kā sasniedzamo rādītāju).</w:t>
            </w:r>
          </w:p>
          <w:p w:rsidR="003A4396" w:rsidRPr="003A4396" w:rsidRDefault="003A4396" w:rsidP="003A4396">
            <w:pPr>
              <w:spacing w:after="0" w:line="240" w:lineRule="auto"/>
              <w:jc w:val="both"/>
              <w:rPr>
                <w:rFonts w:ascii="Cambria" w:eastAsia="Times New Roman" w:hAnsi="Cambria" w:cs="Times New Roman"/>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lastRenderedPageBreak/>
              <w:t xml:space="preserve">1 </w:t>
            </w:r>
            <w:r w:rsidRPr="003A4396">
              <w:rPr>
                <w:rFonts w:ascii="Calibri" w:eastAsia="Times New Roman" w:hAnsi="Calibri" w:cs="Times New Roman"/>
                <w:i/>
                <w:sz w:val="21"/>
                <w:szCs w:val="21"/>
                <w:lang w:val="cs-CZ"/>
              </w:rPr>
              <w:t xml:space="preserve">radīta darba vieta - saskaņā </w:t>
            </w:r>
            <w:r w:rsidRPr="003A4396">
              <w:rPr>
                <w:rFonts w:ascii="Calibri" w:eastAsia="Times New Roman" w:hAnsi="Calibri" w:cs="Times New Roman"/>
                <w:i/>
                <w:sz w:val="21"/>
                <w:szCs w:val="21"/>
              </w:rPr>
              <w:t>13.10.2016. MK noteikumiem nr. 590</w:t>
            </w:r>
            <w:r w:rsidRPr="003A4396">
              <w:rPr>
                <w:rFonts w:ascii="Calibri" w:eastAsia="Times New Roman" w:hAnsi="Calibri" w:cs="Times New Roman"/>
                <w:i/>
                <w:sz w:val="21"/>
                <w:szCs w:val="21"/>
                <w:lang w:val="cs-CZ"/>
              </w:rPr>
              <w:t xml:space="preserve"> „Valsts un Eiropas Savienības atbalsta piešķiršanas kārtība lauku attīstībai apakšpasākumā „Darbību īstenošana saskaņā ar sabiedrības virzītas vietējās attīstības stratēģiju“.</w:t>
            </w:r>
            <w:r w:rsidRPr="003A4396">
              <w:rPr>
                <w:rFonts w:ascii="Calibri" w:eastAsia="Times New Roman" w:hAnsi="Calibri" w:cs="Times New Roman"/>
                <w:sz w:val="21"/>
                <w:szCs w:val="21"/>
                <w:lang w:val="cs-CZ"/>
              </w:rPr>
              <w:t xml:space="preserve"> </w:t>
            </w:r>
          </w:p>
          <w:p w:rsidR="003A4396" w:rsidRPr="003A4396" w:rsidRDefault="003A4396" w:rsidP="003A4396">
            <w:pPr>
              <w:spacing w:after="0" w:line="240" w:lineRule="auto"/>
              <w:jc w:val="both"/>
              <w:rPr>
                <w:rFonts w:ascii="Cambria" w:eastAsia="Times New Roman" w:hAnsi="Cambria" w:cs="Times New Roman"/>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 xml:space="preserve"> </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lastRenderedPageBreak/>
              <w:t>B.6.1.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B.9.</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B.10.</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C.Finanšu informācija</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Pielikumā pievienotie dokumenti</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16.</w:t>
            </w: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Projekta rezultātā radīto darba vietu skaits</w:t>
            </w:r>
          </w:p>
        </w:tc>
        <w:tc>
          <w:tcPr>
            <w:tcW w:w="9643"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radītas divas vai vairāk darba vietas</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radīta darba vieta</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radītas jaunas darba vietas vai nav pamatojuma norādītajām radītajām darba vietām.</w:t>
            </w:r>
          </w:p>
          <w:p w:rsidR="003A4396" w:rsidRPr="003A4396" w:rsidRDefault="003A4396" w:rsidP="003A4396">
            <w:pPr>
              <w:spacing w:after="0" w:line="240" w:lineRule="auto"/>
              <w:rPr>
                <w:rFonts w:ascii="Calibri" w:eastAsia="Times New Roman" w:hAnsi="Calibri" w:cs="Times New Roman"/>
                <w:color w:val="FF0000"/>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Nosaukto darba vietu skaitam jābūt adekvātam projekta saturam, darba vietām jābūt aprakstītām un pamatotām naudas plūsmas/budžeta pozīcijās !</w:t>
            </w:r>
          </w:p>
          <w:p w:rsidR="003A4396" w:rsidRPr="003A4396" w:rsidRDefault="003A4396" w:rsidP="003A4396">
            <w:pPr>
              <w:spacing w:after="0" w:line="240" w:lineRule="auto"/>
              <w:rPr>
                <w:rFonts w:ascii="Calibri" w:eastAsia="Times New Roman" w:hAnsi="Calibri" w:cs="Times New Roman"/>
                <w:b/>
                <w:color w:val="FF0000"/>
                <w:sz w:val="21"/>
                <w:szCs w:val="21"/>
                <w:lang w:val="cs-CZ"/>
              </w:rPr>
            </w:pP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 xml:space="preserve"> </w:t>
            </w:r>
            <w:r w:rsidRPr="003A4396">
              <w:rPr>
                <w:rFonts w:ascii="Calibri" w:eastAsia="Times New Roman" w:hAnsi="Calibri" w:cs="Times New Roman"/>
                <w:i/>
                <w:sz w:val="21"/>
                <w:szCs w:val="21"/>
                <w:lang w:val="cs-CZ"/>
              </w:rPr>
              <w:t xml:space="preserve">radīta darba vieta - saskaņā </w:t>
            </w:r>
            <w:r w:rsidRPr="003A4396">
              <w:rPr>
                <w:rFonts w:ascii="Calibri" w:eastAsia="Times New Roman" w:hAnsi="Calibri" w:cs="Times New Roman"/>
                <w:i/>
                <w:sz w:val="21"/>
                <w:szCs w:val="21"/>
              </w:rPr>
              <w:t>13.10.2016. MK noteikumiem nr. 590</w:t>
            </w:r>
            <w:r w:rsidRPr="003A4396">
              <w:rPr>
                <w:rFonts w:ascii="Calibri" w:eastAsia="Times New Roman" w:hAnsi="Calibri" w:cs="Times New Roman"/>
                <w:i/>
                <w:sz w:val="21"/>
                <w:szCs w:val="21"/>
                <w:lang w:val="cs-CZ"/>
              </w:rPr>
              <w:t xml:space="preserve"> „Valsts un Eiropas Savienības atbalsta piešķiršanas kārtība lauku attīstībai apakšpasākumā „Darbību īstenošana saskaņā ar sabiedrības virzītas vietējās attīstības stratēģiju“.</w:t>
            </w:r>
            <w:r w:rsidRPr="003A4396">
              <w:rPr>
                <w:rFonts w:ascii="Calibri" w:eastAsia="Times New Roman" w:hAnsi="Calibri" w:cs="Times New Roman"/>
                <w:sz w:val="21"/>
                <w:szCs w:val="21"/>
                <w:lang w:val="cs-CZ"/>
              </w:rPr>
              <w:t xml:space="preserve"> </w:t>
            </w:r>
          </w:p>
          <w:p w:rsidR="003A4396" w:rsidRPr="003A4396" w:rsidRDefault="003A4396" w:rsidP="003A4396">
            <w:pPr>
              <w:spacing w:after="0" w:line="240" w:lineRule="auto"/>
              <w:rPr>
                <w:rFonts w:ascii="Cambria" w:eastAsia="Times New Roman" w:hAnsi="Cambria" w:cs="Times New Roman"/>
                <w:i/>
                <w:sz w:val="21"/>
                <w:szCs w:val="21"/>
                <w:lang w:val="cs-CZ"/>
              </w:rPr>
            </w:pP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B.4.</w:t>
            </w:r>
          </w:p>
          <w:p w:rsidR="003A4396" w:rsidRPr="003A4396" w:rsidRDefault="003A4396" w:rsidP="003A4396">
            <w:pPr>
              <w:spacing w:after="0" w:line="240" w:lineRule="auto"/>
              <w:rPr>
                <w:rFonts w:ascii="Cambria" w:eastAsia="Times New Roman" w:hAnsi="Cambria" w:cs="Times New Roman"/>
                <w:i/>
                <w:sz w:val="21"/>
                <w:szCs w:val="21"/>
                <w:lang w:val="cs-CZ"/>
              </w:rPr>
            </w:pPr>
            <w:r w:rsidRPr="003A4396">
              <w:rPr>
                <w:rFonts w:ascii="Cambria" w:eastAsia="Times New Roman" w:hAnsi="Cambria" w:cs="Times New Roman"/>
                <w:sz w:val="21"/>
                <w:szCs w:val="21"/>
                <w:lang w:val="cs-CZ"/>
              </w:rPr>
              <w:t xml:space="preserve">B.4.1., </w:t>
            </w:r>
            <w:r w:rsidRPr="003A4396">
              <w:rPr>
                <w:rFonts w:ascii="Cambria" w:eastAsia="Times New Roman" w:hAnsi="Cambria" w:cs="Times New Roman"/>
                <w:i/>
                <w:sz w:val="21"/>
                <w:szCs w:val="21"/>
                <w:lang w:val="cs-CZ"/>
              </w:rPr>
              <w:t>ja attiecas</w:t>
            </w:r>
          </w:p>
          <w:p w:rsidR="003A4396" w:rsidRPr="003A4396" w:rsidRDefault="003A4396" w:rsidP="003A4396">
            <w:pPr>
              <w:spacing w:after="0" w:line="240" w:lineRule="auto"/>
              <w:rPr>
                <w:rFonts w:ascii="Cambria" w:eastAsia="Times New Roman" w:hAnsi="Cambria" w:cs="Times New Roman"/>
                <w:i/>
                <w:sz w:val="21"/>
                <w:szCs w:val="21"/>
                <w:lang w:val="cs-CZ"/>
              </w:rPr>
            </w:pPr>
            <w:r w:rsidRPr="003A4396">
              <w:rPr>
                <w:rFonts w:ascii="Cambria" w:eastAsia="Times New Roman" w:hAnsi="Cambria" w:cs="Times New Roman"/>
                <w:i/>
                <w:sz w:val="21"/>
                <w:szCs w:val="21"/>
                <w:lang w:val="cs-CZ"/>
              </w:rPr>
              <w:t>B.9.</w:t>
            </w:r>
          </w:p>
          <w:p w:rsidR="003A4396" w:rsidRPr="003A4396" w:rsidRDefault="003A4396" w:rsidP="003A4396">
            <w:pPr>
              <w:spacing w:after="0" w:line="240" w:lineRule="auto"/>
              <w:rPr>
                <w:rFonts w:ascii="Cambria" w:eastAsia="Times New Roman" w:hAnsi="Cambria" w:cs="Times New Roman"/>
                <w:i/>
                <w:sz w:val="21"/>
                <w:szCs w:val="21"/>
                <w:lang w:val="cs-CZ"/>
              </w:rPr>
            </w:pPr>
            <w:r w:rsidRPr="003A4396">
              <w:rPr>
                <w:rFonts w:ascii="Cambria" w:eastAsia="Times New Roman" w:hAnsi="Cambria" w:cs="Times New Roman"/>
                <w:i/>
                <w:sz w:val="21"/>
                <w:szCs w:val="21"/>
                <w:lang w:val="cs-CZ"/>
              </w:rPr>
              <w:t>C.2.1.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i/>
                <w:sz w:val="21"/>
                <w:szCs w:val="21"/>
                <w:lang w:val="cs-CZ"/>
              </w:rPr>
              <w:t>C.3.1.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17.</w:t>
            </w:r>
          </w:p>
          <w:p w:rsidR="003A4396" w:rsidRPr="003A4396" w:rsidDel="007F4969" w:rsidRDefault="003A4396" w:rsidP="003A4396">
            <w:pPr>
              <w:spacing w:after="0" w:line="240" w:lineRule="auto"/>
              <w:rPr>
                <w:rFonts w:ascii="Cambria" w:eastAsia="Times New Roman" w:hAnsi="Cambria" w:cs="Times New Roman"/>
                <w:sz w:val="21"/>
                <w:szCs w:val="21"/>
                <w:lang w:val="cs-CZ"/>
              </w:rPr>
            </w:pPr>
          </w:p>
        </w:tc>
        <w:tc>
          <w:tcPr>
            <w:tcW w:w="2320" w:type="dxa"/>
            <w:shd w:val="clear" w:color="auto" w:fill="auto"/>
          </w:tcPr>
          <w:p w:rsidR="003A4396" w:rsidRPr="003A4396" w:rsidDel="007F4969"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t>Produkta/pakalpojuma mērķgrupas raksturojums</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mērķgrupa apzināta, bet nav pamatota un skaidri, nepārprotami saprotama trešajai personai.</w:t>
            </w:r>
          </w:p>
          <w:p w:rsidR="003A4396" w:rsidRPr="003A4396" w:rsidDel="007F4969"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norādīta un/vai nav raksturota mērķgrupa.</w:t>
            </w:r>
          </w:p>
        </w:tc>
        <w:tc>
          <w:tcPr>
            <w:tcW w:w="2240" w:type="dxa"/>
          </w:tcPr>
          <w:p w:rsidR="003A4396" w:rsidRPr="003A4396" w:rsidDel="007F4969"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18.</w:t>
            </w:r>
          </w:p>
          <w:p w:rsidR="003A4396" w:rsidRPr="003A4396" w:rsidRDefault="003A4396" w:rsidP="003A4396">
            <w:pPr>
              <w:spacing w:after="0" w:line="240" w:lineRule="auto"/>
              <w:rPr>
                <w:rFonts w:ascii="Cambria" w:eastAsia="Times New Roman" w:hAnsi="Cambria" w:cs="Times New Roman"/>
                <w:sz w:val="21"/>
                <w:szCs w:val="21"/>
                <w:lang w:val="cs-CZ"/>
              </w:rPr>
            </w:pPr>
          </w:p>
        </w:tc>
        <w:tc>
          <w:tcPr>
            <w:tcW w:w="2320"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Projekta realizācijas, ilgtspējas un projekta rezultātu uzturēšanas risku izvērtējums</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2</w:t>
            </w:r>
            <w:r w:rsidRPr="003A4396">
              <w:rPr>
                <w:rFonts w:ascii="Calibri" w:eastAsia="Times New Roman" w:hAnsi="Calibri" w:cs="Times New Roman"/>
                <w:sz w:val="21"/>
                <w:szCs w:val="21"/>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0</w:t>
            </w:r>
            <w:r w:rsidRPr="003A4396">
              <w:rPr>
                <w:rFonts w:ascii="Calibri" w:eastAsia="Times New Roman" w:hAnsi="Calibri" w:cs="Times New Roman"/>
                <w:sz w:val="21"/>
                <w:szCs w:val="21"/>
                <w:lang w:val="cs-CZ"/>
              </w:rPr>
              <w:t xml:space="preserve"> – nav aprakstīts, kas un kā realizēs, uzturēs projekta rezultātus pēc projekta beigām, nav aprakstīta projekta dzīvotspēja vai projektā ir uzrakstīts, ka tiks nodrošināta projekta ilgtspēja, bet nav pamatojuma.</w:t>
            </w:r>
          </w:p>
          <w:p w:rsidR="003A4396" w:rsidRPr="003A4396" w:rsidRDefault="003A4396" w:rsidP="003A4396">
            <w:pPr>
              <w:spacing w:after="0" w:line="240" w:lineRule="auto"/>
              <w:rPr>
                <w:rFonts w:ascii="Cambria" w:eastAsia="Times New Roman" w:hAnsi="Cambria" w:cs="Times New Roman"/>
                <w:sz w:val="21"/>
                <w:szCs w:val="21"/>
                <w:lang w:val="cs-CZ"/>
              </w:rPr>
            </w:pP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B.6.1.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C.2.1.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 xml:space="preserve">C.3.1. </w:t>
            </w:r>
          </w:p>
        </w:tc>
      </w:tr>
      <w:tr w:rsidR="003A4396" w:rsidRPr="003A4396" w:rsidTr="001950FC">
        <w:tc>
          <w:tcPr>
            <w:tcW w:w="681" w:type="dxa"/>
            <w:shd w:val="clear" w:color="auto" w:fill="auto"/>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19.</w:t>
            </w:r>
          </w:p>
          <w:p w:rsidR="003A4396" w:rsidRPr="003A4396" w:rsidDel="007F4969" w:rsidRDefault="003A4396" w:rsidP="003A4396">
            <w:pPr>
              <w:spacing w:after="0" w:line="240" w:lineRule="auto"/>
              <w:rPr>
                <w:rFonts w:ascii="Cambria" w:eastAsia="Times New Roman" w:hAnsi="Cambria" w:cs="Times New Roman"/>
                <w:sz w:val="21"/>
                <w:szCs w:val="21"/>
                <w:lang w:val="cs-CZ"/>
              </w:rPr>
            </w:pPr>
          </w:p>
        </w:tc>
        <w:tc>
          <w:tcPr>
            <w:tcW w:w="2320" w:type="dxa"/>
            <w:shd w:val="clear" w:color="auto" w:fill="auto"/>
          </w:tcPr>
          <w:p w:rsidR="003A4396" w:rsidRPr="003A4396" w:rsidDel="007F4969"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Sezonalitātes ietekmes mazināšana</w:t>
            </w:r>
          </w:p>
        </w:tc>
        <w:tc>
          <w:tcPr>
            <w:tcW w:w="9643" w:type="dxa"/>
            <w:shd w:val="clear" w:color="auto" w:fill="auto"/>
          </w:tcPr>
          <w:p w:rsidR="003A4396" w:rsidRPr="003A4396" w:rsidRDefault="003A4396" w:rsidP="003A4396">
            <w:pPr>
              <w:spacing w:after="0" w:line="240" w:lineRule="auto"/>
              <w:jc w:val="both"/>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t>1</w:t>
            </w:r>
            <w:r w:rsidRPr="003A4396">
              <w:rPr>
                <w:rFonts w:ascii="Calibri" w:eastAsia="Times New Roman" w:hAnsi="Calibri" w:cs="Times New Roman"/>
                <w:sz w:val="21"/>
                <w:szCs w:val="21"/>
                <w:lang w:val="cs-CZ"/>
              </w:rPr>
              <w:t xml:space="preserve"> – ja  projekta īstenošanas rezultātā tiek mazināta sezonalitāte</w:t>
            </w:r>
            <w:r w:rsidRPr="003A4396">
              <w:rPr>
                <w:rFonts w:ascii="Calibri" w:eastAsia="Times New Roman" w:hAnsi="Calibri" w:cs="Times New Roman"/>
                <w:b/>
                <w:vertAlign w:val="superscript"/>
                <w:lang w:val="cs-CZ"/>
              </w:rPr>
              <w:t>1</w:t>
            </w:r>
            <w:r w:rsidRPr="003A4396">
              <w:rPr>
                <w:rFonts w:ascii="Calibri" w:eastAsia="Times New Roman" w:hAnsi="Calibri" w:cs="Times New Roman"/>
                <w:sz w:val="21"/>
                <w:szCs w:val="21"/>
                <w:lang w:val="cs-CZ"/>
              </w:rPr>
              <w:t xml:space="preserve"> (tiek nodrošināta </w:t>
            </w:r>
            <w:r w:rsidRPr="003A4396">
              <w:rPr>
                <w:rFonts w:ascii="Calibri" w:eastAsia="Times New Roman" w:hAnsi="Calibri" w:cs="Times New Roman"/>
                <w:b/>
                <w:i/>
                <w:sz w:val="21"/>
                <w:szCs w:val="21"/>
                <w:u w:val="single"/>
                <w:lang w:val="cs-CZ"/>
              </w:rPr>
              <w:t>aktīvā darbība</w:t>
            </w:r>
            <w:r w:rsidRPr="003A4396">
              <w:rPr>
                <w:rFonts w:ascii="Calibri" w:eastAsia="Times New Roman" w:hAnsi="Calibri" w:cs="Times New Roman"/>
                <w:sz w:val="21"/>
                <w:szCs w:val="21"/>
                <w:lang w:val="cs-CZ"/>
              </w:rPr>
              <w:t xml:space="preserve"> no novembra līdz martam vai arī visu gadu).</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b/>
                <w:sz w:val="21"/>
                <w:szCs w:val="21"/>
                <w:lang w:val="cs-CZ"/>
              </w:rPr>
              <w:lastRenderedPageBreak/>
              <w:t>0</w:t>
            </w:r>
            <w:r w:rsidRPr="003A4396">
              <w:rPr>
                <w:rFonts w:ascii="Calibri" w:eastAsia="Times New Roman" w:hAnsi="Calibri" w:cs="Times New Roman"/>
                <w:sz w:val="21"/>
                <w:szCs w:val="21"/>
                <w:lang w:val="cs-CZ"/>
              </w:rPr>
              <w:t xml:space="preserve"> – ja projekta īstenošanas rezultātā netiek mazināta sezonalitātes ietekme vai projektam nav sezonāls raksturs</w:t>
            </w:r>
          </w:p>
          <w:p w:rsidR="003A4396" w:rsidRPr="003A4396" w:rsidRDefault="003A4396" w:rsidP="003A4396">
            <w:pPr>
              <w:spacing w:after="0" w:line="240" w:lineRule="auto"/>
              <w:rPr>
                <w:rFonts w:ascii="Calibri" w:eastAsia="Times New Roman" w:hAnsi="Calibri" w:cs="Times New Roman"/>
                <w:sz w:val="21"/>
                <w:szCs w:val="21"/>
                <w:lang w:val="cs-CZ"/>
              </w:rPr>
            </w:pPr>
          </w:p>
          <w:p w:rsidR="003A4396" w:rsidRPr="003A4396" w:rsidRDefault="003A4396" w:rsidP="003A4396">
            <w:pPr>
              <w:spacing w:after="0" w:line="240" w:lineRule="auto"/>
              <w:jc w:val="both"/>
              <w:rPr>
                <w:rFonts w:ascii="Calibri" w:eastAsia="Times New Roman" w:hAnsi="Calibri" w:cs="Times New Roman"/>
                <w:i/>
                <w:sz w:val="21"/>
                <w:szCs w:val="21"/>
                <w:lang w:val="cs-CZ"/>
              </w:rPr>
            </w:pPr>
            <w:r w:rsidRPr="003A4396">
              <w:rPr>
                <w:rFonts w:ascii="Calibri" w:eastAsia="Times New Roman" w:hAnsi="Calibri" w:cs="Times New Roman"/>
                <w:b/>
                <w:i/>
                <w:vertAlign w:val="superscript"/>
                <w:lang w:val="cs-CZ"/>
              </w:rPr>
              <w:t>1</w:t>
            </w:r>
            <w:r w:rsidRPr="003A4396">
              <w:rPr>
                <w:rFonts w:ascii="Calibri" w:eastAsia="Times New Roman" w:hAnsi="Calibri" w:cs="Times New Roman"/>
                <w:i/>
                <w:sz w:val="21"/>
                <w:szCs w:val="21"/>
                <w:lang w:val="cs-CZ"/>
              </w:rPr>
              <w:t>Sezonalitātes  mazināšana – uzņēmuma aktīvās darbības nodrošināšana no 1.novembra līdz 31.martam, kas tiek atspoguļota naudas plūsmā.</w:t>
            </w:r>
          </w:p>
          <w:p w:rsidR="003A4396" w:rsidRPr="003A4396" w:rsidDel="007F4969" w:rsidRDefault="003A4396" w:rsidP="003A4396">
            <w:pPr>
              <w:spacing w:after="0" w:line="240" w:lineRule="auto"/>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Projektā skaidri norādīta projekta sezonalitāte vai aprakstīta un pierādīta sezonalitātes neesamība.</w:t>
            </w:r>
          </w:p>
        </w:tc>
        <w:tc>
          <w:tcPr>
            <w:tcW w:w="2240" w:type="dxa"/>
          </w:tcPr>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lastRenderedPageBreak/>
              <w:t>B.6.1.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C.2.1.</w:t>
            </w:r>
          </w:p>
          <w:p w:rsidR="003A4396" w:rsidRPr="003A4396" w:rsidRDefault="003A4396" w:rsidP="003A4396">
            <w:pPr>
              <w:spacing w:after="0" w:line="240" w:lineRule="auto"/>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C.3.1.</w:t>
            </w:r>
          </w:p>
          <w:p w:rsidR="003A4396" w:rsidRPr="003A4396" w:rsidDel="007F4969" w:rsidRDefault="003A4396" w:rsidP="003A4396">
            <w:pPr>
              <w:spacing w:after="0" w:line="240" w:lineRule="auto"/>
              <w:rPr>
                <w:rFonts w:ascii="Cambria" w:eastAsia="Times New Roman" w:hAnsi="Cambria" w:cs="Times New Roman"/>
                <w:sz w:val="21"/>
                <w:szCs w:val="21"/>
                <w:lang w:val="cs-CZ"/>
              </w:rPr>
            </w:pPr>
            <w:r w:rsidRPr="003A4396">
              <w:rPr>
                <w:rFonts w:ascii="Calibri" w:eastAsia="Times New Roman" w:hAnsi="Calibri" w:cs="Times New Roman"/>
                <w:sz w:val="21"/>
                <w:szCs w:val="21"/>
                <w:lang w:val="cs-CZ"/>
              </w:rPr>
              <w:lastRenderedPageBreak/>
              <w:t>Pielikumā pievienotie dokumenti</w:t>
            </w:r>
          </w:p>
        </w:tc>
      </w:tr>
    </w:tbl>
    <w:p w:rsidR="003A4396" w:rsidRPr="003A4396" w:rsidRDefault="003A4396" w:rsidP="003A4396">
      <w:pPr>
        <w:spacing w:after="0" w:line="240" w:lineRule="auto"/>
        <w:rPr>
          <w:rFonts w:ascii="Cambria" w:eastAsia="Times New Roman" w:hAnsi="Cambria" w:cs="Times New Roman"/>
          <w:sz w:val="21"/>
          <w:szCs w:val="21"/>
          <w:lang w:val="cs-CZ"/>
        </w:rPr>
      </w:pP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Kopējais novērtējumā iegūstamais maksimālo punktu skaits 28,00</w:t>
      </w: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 xml:space="preserve">Minimālais punktu skaits projekta pozitīvam novērtējumam  - 11.0 punkti. </w:t>
      </w: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Ja punktu skaits ir zemāks par minimālo punktu skaitu, projekta pieteikums tiek noraidīts.</w:t>
      </w: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Ja 1.kritērijā projekts saņem atzīmi „Neatbilst“, projekta pieteikums tiek noraidīts.</w:t>
      </w: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sz w:val="21"/>
          <w:szCs w:val="21"/>
          <w:lang w:val="cs-CZ"/>
        </w:rPr>
        <w:t>Punktu skaits tiek noapaļots līdz diviem cipariem aiz komata.</w:t>
      </w:r>
    </w:p>
    <w:p w:rsidR="003A4396" w:rsidRPr="003A4396" w:rsidRDefault="003A4396" w:rsidP="003A4396">
      <w:pPr>
        <w:numPr>
          <w:ilvl w:val="0"/>
          <w:numId w:val="1"/>
        </w:numPr>
        <w:spacing w:line="312" w:lineRule="auto"/>
        <w:contextualSpacing/>
        <w:jc w:val="both"/>
        <w:rPr>
          <w:rFonts w:ascii="Cambria" w:eastAsia="Times New Roman" w:hAnsi="Cambria" w:cs="Times New Roman"/>
          <w:sz w:val="21"/>
          <w:szCs w:val="21"/>
          <w:lang w:val="cs-CZ"/>
        </w:rPr>
      </w:pPr>
      <w:r w:rsidRPr="003A4396">
        <w:rPr>
          <w:rFonts w:ascii="Cambria" w:eastAsia="Times New Roman" w:hAnsi="Cambria" w:cs="Times New Roman"/>
          <w:color w:val="000000"/>
          <w:sz w:val="21"/>
          <w:szCs w:val="21"/>
          <w:lang w:val="cs-CZ"/>
        </w:rPr>
        <w:t>Ja vairāki projekti ir ieguvuši vienādu punktu skaitu, priekšroka tiek dota projekta iesniedzējam, kurš ieguvis vairāk punktu īpašajos vērtēšanas kritērijos.</w:t>
      </w:r>
    </w:p>
    <w:p w:rsidR="003A4396" w:rsidRPr="003A4396" w:rsidRDefault="003A4396" w:rsidP="003A4396">
      <w:pPr>
        <w:rPr>
          <w:rFonts w:ascii="Cambria" w:eastAsia="Times New Roman" w:hAnsi="Cambria" w:cs="Times New Roman"/>
          <w:sz w:val="28"/>
          <w:szCs w:val="28"/>
          <w:lang w:val="cs-CZ"/>
        </w:rPr>
      </w:pPr>
      <w:r w:rsidRPr="003A4396">
        <w:rPr>
          <w:rFonts w:ascii="Cambria" w:eastAsia="Times New Roman" w:hAnsi="Cambria" w:cs="Times New Roman"/>
          <w:sz w:val="21"/>
          <w:szCs w:val="21"/>
          <w:lang w:val="cs-CZ"/>
        </w:rPr>
        <w:br w:type="page"/>
      </w:r>
      <w:r w:rsidRPr="003A4396">
        <w:rPr>
          <w:rFonts w:ascii="Cambria" w:eastAsia="Times New Roman" w:hAnsi="Cambria" w:cs="Times New Roman"/>
          <w:sz w:val="28"/>
          <w:szCs w:val="28"/>
          <w:lang w:val="cs-CZ"/>
        </w:rPr>
        <w:lastRenderedPageBreak/>
        <w:t>4.3.1.3.Īpašie vērtēšanas kritēriji visām Rīcības plānā iekļautajām rīcībām</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lang w:val="cs-CZ" w:eastAsia="lv-LV"/>
        </w:rPr>
        <w:t>Īpašie vērtēšanas kritēriji tiek pielietoti vērtēšanā tikai tad, ja divi vai vairāk projekti ir ieguvuši vienādu punktu skaitu.</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Īpašajos vērtēšanas kritērijos iegūtais punktu skaits tiek summēts klāt punktiem, kas iegūti projektu vērtēšanas kritērijos.</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 xml:space="preserve">1) 0,001 punktu </w:t>
      </w:r>
      <w:r w:rsidRPr="003A4396">
        <w:rPr>
          <w:rFonts w:ascii="Calibri" w:eastAsia="Times New Roman" w:hAnsi="Calibri" w:cs="Times New Roman"/>
          <w:sz w:val="21"/>
          <w:szCs w:val="21"/>
          <w:lang w:val="cs-CZ" w:eastAsia="lv-LV"/>
        </w:rPr>
        <w:t xml:space="preserve">iegūst projekts, kas tiek realizēts ārpus pilsētas, novada centra vai vietējās teritorijas centra. </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2) 0,001 punktu iegūst projekts ar mazāko pieprasīto publiskā finansējuma summu.</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val="cs-CZ" w:eastAsia="lv-LV"/>
        </w:rPr>
        <w:t xml:space="preserve">3) 0,001 punktu iegūst </w:t>
      </w:r>
      <w:r w:rsidRPr="003A4396">
        <w:rPr>
          <w:rFonts w:ascii="Calibri" w:eastAsia="Times New Roman" w:hAnsi="Calibri" w:cs="Calibri"/>
          <w:i/>
          <w:iCs/>
          <w:lang w:eastAsia="lv-LV"/>
        </w:rPr>
        <w:t>projekts, kura iesniedzējam nav realizācijā esoši projekti LEADER (tiek fiksētas uz konkrētā projekta iesniegšanas dienu).</w:t>
      </w:r>
    </w:p>
    <w:p w:rsidR="003A4396" w:rsidRPr="003A4396" w:rsidRDefault="003A4396" w:rsidP="003A4396">
      <w:pPr>
        <w:tabs>
          <w:tab w:val="num" w:pos="360"/>
        </w:tabs>
        <w:spacing w:after="200" w:line="276" w:lineRule="auto"/>
        <w:ind w:left="360"/>
        <w:jc w:val="both"/>
        <w:rPr>
          <w:rFonts w:ascii="Cambria" w:eastAsia="Times New Roman" w:hAnsi="Cambria" w:cs="Times New Roman"/>
          <w:sz w:val="21"/>
          <w:szCs w:val="21"/>
          <w:lang w:val="cs-CZ" w:eastAsia="lv-LV"/>
        </w:rPr>
      </w:pPr>
      <w:r w:rsidRPr="003A4396">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rsidR="006F0275" w:rsidRPr="003A4396" w:rsidRDefault="006F0275" w:rsidP="003A4396"/>
    <w:sectPr w:rsidR="006F0275" w:rsidRPr="003A4396" w:rsidSect="003A4396">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6"/>
    <w:rsid w:val="003A4396"/>
    <w:rsid w:val="004D7E26"/>
    <w:rsid w:val="006F0275"/>
    <w:rsid w:val="00C41FE3"/>
    <w:rsid w:val="00F56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2FBB"/>
  <w15:chartTrackingRefBased/>
  <w15:docId w15:val="{163100FB-90FC-4C6E-98D6-A946139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9649</Words>
  <Characters>5501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2019-01-29T12:00:00Z</dcterms:created>
  <dcterms:modified xsi:type="dcterms:W3CDTF">2020-01-09T09:34:00Z</dcterms:modified>
</cp:coreProperties>
</file>